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Одржавање возног парка Градске управе града Зајечара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4"/>
          <w:szCs w:val="24"/>
          <w:lang w:val="sr-RS"/>
        </w:rPr>
        <w:t xml:space="preserve">Партија 2 – Сервис возила марке Дачиа, Опел, Шевролет и </w:t>
      </w:r>
      <w:r>
        <w:rPr>
          <w:rFonts w:cs="Arial" w:ascii="Arial" w:hAnsi="Arial"/>
          <w:b/>
          <w:bCs/>
          <w:iCs/>
          <w:sz w:val="24"/>
          <w:szCs w:val="24"/>
          <w:lang w:val="sr-Latn-RS"/>
        </w:rPr>
        <w:t xml:space="preserve"> </w:t>
      </w:r>
      <w:r>
        <w:rPr>
          <w:rFonts w:cs="Arial" w:ascii="Arial" w:hAnsi="Arial"/>
          <w:b/>
          <w:bCs/>
          <w:iCs/>
          <w:sz w:val="24"/>
          <w:szCs w:val="24"/>
          <w:lang w:val="sr-RS"/>
        </w:rPr>
        <w:t>Застава</w:t>
      </w:r>
    </w:p>
    <w:p>
      <w:pPr>
        <w:pStyle w:val="Normal"/>
        <w:rPr>
          <w:rFonts w:ascii="Arial" w:hAnsi="Arial" w:cs="Arial"/>
          <w:b w:val="false"/>
          <w:b w:val="false"/>
          <w:bCs/>
          <w:i w:val="false"/>
          <w:i w:val="false"/>
          <w:iCs/>
          <w:strike w:val="false"/>
          <w:dstrike w:val="false"/>
          <w:outline w:val="false"/>
          <w:shadow w:val="false"/>
          <w:color w:val="000000"/>
          <w:sz w:val="22"/>
          <w:szCs w:val="24"/>
          <w:u w:val="none"/>
          <w:em w:val="none"/>
          <w:lang w:val="sr-RS"/>
        </w:rPr>
      </w:pPr>
      <w:r>
        <w:rPr/>
      </w:r>
    </w:p>
    <w:p>
      <w:pPr>
        <w:pStyle w:val="Normal"/>
        <w:rPr>
          <w:rFonts w:ascii="Arial" w:hAnsi="Arial"/>
          <w:b w:val="false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</w:pP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</w:r>
    </w:p>
    <w:p>
      <w:pPr>
        <w:pStyle w:val="Normal"/>
        <w:rPr>
          <w:rFonts w:ascii="Arial" w:hAnsi="Arial" w:cs="Arial"/>
          <w:b/>
          <w:b/>
          <w:bCs/>
          <w:iCs/>
          <w:sz w:val="22"/>
          <w:szCs w:val="22"/>
          <w:lang w:val="sr-RS"/>
        </w:rPr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УСЛУГЕ ОДРЖАВАЊА ВОЗИЛА обухватају следеће врсте услуга: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- Редовно сервисирање возила;</w:t>
      </w:r>
    </w:p>
    <w:p>
      <w:pPr>
        <w:pStyle w:val="Normal"/>
        <w:rPr>
          <w:rFonts w:ascii="Arial" w:hAnsi="Arial" w:cs="Arial"/>
          <w:b w:val="false"/>
          <w:b w:val="false"/>
          <w:bCs w:val="false"/>
          <w:iCs/>
          <w:sz w:val="22"/>
          <w:szCs w:val="22"/>
          <w:lang w:val="sr-RS"/>
        </w:rPr>
      </w:pP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- Ванредно одржавање возила.</w:t>
      </w:r>
    </w:p>
    <w:p>
      <w:pPr>
        <w:pStyle w:val="Normal"/>
        <w:rPr>
          <w:rFonts w:ascii="Arial" w:hAnsi="Arial" w:cs="Arial"/>
          <w:b/>
          <w:b/>
          <w:bCs/>
          <w:iCs/>
          <w:sz w:val="22"/>
          <w:szCs w:val="22"/>
          <w:lang w:val="sr-RS"/>
        </w:rPr>
      </w:pP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НАПОМЕНА: 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>Јавном набавком се не мења и не утиче на права и обавезе која се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односе на гарантни период за возила.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1.1. РЕДОВНО СЕРВИСИРАЊЕ ВОЗИЛА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Редовно сервисирање возила обухвата пружање услуга и замену делова и материјала, према препоруци произвођача возила у сервисној књижици, на одређени број пређених километара, односно на одређени временски период.Редовно сервисирање врши се по писаном радном налогу Наручиоца.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1.2. ВАНРЕДНО ОДРЖАВАЊЕ ВОЗИЛА</w:t>
      </w:r>
    </w:p>
    <w:p>
      <w:pPr>
        <w:pStyle w:val="Normal"/>
        <w:jc w:val="both"/>
        <w:rPr/>
      </w:pPr>
      <w:r>
        <w:rPr>
          <w:rFonts w:ascii="Arial" w:hAnsi="Arial"/>
          <w:sz w:val="22"/>
          <w:szCs w:val="22"/>
        </w:rPr>
        <w:t>Ванредно одржавање возила обухвата поправку и отклањање уочених кварова инеисправности на возилу и његово стављање у редовну функцију.</w:t>
      </w:r>
    </w:p>
    <w:p>
      <w:pPr>
        <w:pStyle w:val="Normal"/>
        <w:spacing w:before="0" w:after="46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Ванредном одржавању возила Пружалац услуге приступа након што се Наручилац</w:t>
      </w:r>
    </w:p>
    <w:p>
      <w:pPr>
        <w:pStyle w:val="Normal"/>
        <w:spacing w:before="0" w:after="46"/>
        <w:jc w:val="left"/>
        <w:rPr/>
      </w:pPr>
      <w:r>
        <w:rPr>
          <w:rFonts w:ascii="Arial" w:hAnsi="Arial"/>
          <w:sz w:val="22"/>
          <w:szCs w:val="22"/>
        </w:rPr>
        <w:t>писаним путем сагласи са резултатом детекције, односно утврђеним кваровима,те врстом и количином потребних услуга, резервних делова и/или материјала заотклањање насталог квара.</w:t>
      </w:r>
    </w:p>
    <w:p>
      <w:pPr>
        <w:pStyle w:val="Normal"/>
        <w:spacing w:before="0" w:after="46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У процени вредности ванредног одржавања примењују се цене изражене у понуди у </w:t>
      </w:r>
      <w:r>
        <w:rPr>
          <w:rFonts w:ascii="Arial" w:hAnsi="Arial"/>
          <w:b w:val="false"/>
          <w:bCs w:val="false"/>
          <w:sz w:val="22"/>
          <w:szCs w:val="22"/>
        </w:rPr>
        <w:t>Обрасцу структуре цене</w:t>
      </w:r>
      <w:r>
        <w:rPr>
          <w:rFonts w:ascii="Arial" w:hAnsi="Arial"/>
          <w:sz w:val="22"/>
          <w:szCs w:val="22"/>
        </w:rPr>
        <w:t>, када отклањање кварова и неисправности подразумева услугу и резервне делове који су наведени у табели.</w:t>
      </w:r>
    </w:p>
    <w:p>
      <w:pPr>
        <w:pStyle w:val="Normal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Предмет ове јавне набавке је и набавка услуга и резервних делова који нису могли</w:t>
      </w:r>
    </w:p>
    <w:p>
      <w:pPr>
        <w:pStyle w:val="Normal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бити предвиђени по количини и/или врсти у овој конкурсној документацији идостављеним понудама, односно коју су ван редовног сервисирања и ванредног одржавања возила представљених кроз техничке спецификације и Образац структуре цене у овој конкурсној документацији.  Цене материјала и резервних делова које су представљене у процени не могу бити изнад тржишно упоредивих цена и </w:t>
      </w:r>
      <w:r>
        <w:rPr>
          <w:rFonts w:ascii="Arial" w:hAnsi="Arial"/>
          <w:b w:val="false"/>
          <w:bCs w:val="false"/>
          <w:sz w:val="22"/>
          <w:szCs w:val="22"/>
        </w:rPr>
        <w:t>важећих цена у званичном ценовнику Пружаоца услуга.</w:t>
      </w:r>
    </w:p>
    <w:p>
      <w:pPr>
        <w:pStyle w:val="Normal"/>
        <w:jc w:val="both"/>
        <w:rPr/>
      </w:pPr>
      <w:r>
        <w:rPr>
          <w:rFonts w:ascii="Arial" w:hAnsi="Arial"/>
          <w:sz w:val="22"/>
          <w:szCs w:val="22"/>
        </w:rPr>
        <w:t>Наручилац задржава право да након што је обавештен о процени Пружаоца</w:t>
      </w:r>
      <w:r>
        <w:rPr>
          <w:rFonts w:ascii="Arial" w:hAnsi="Arial"/>
          <w:b w:val="false"/>
          <w:bCs w:val="false"/>
          <w:sz w:val="22"/>
          <w:szCs w:val="22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услуга,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одустане од отклањања кварова или неисправности када процени да је отклањање истих у несразмерној вредности са вредношћу возила или уколико утврди да цена није у складу са понуђеним ценама, односно није у складу са велепродајним ценама на тржишту уколико су у питању цене резервних делова иматеријала који нису исказани у Обрасцу структуре цене.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2. РОК ИЗВРШЕЊА УСЛУГЕ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почетка извршења услуге (преузимање возила на рад) не може бити дужи од 1 радног дана од дана пријема возила и радног налога Наручиоца.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за извршење услуге редовног сервисирања возила, мањих поправки у склопу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ванредног одржавања возила не може бити дужи од 2 радна дана од дана када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Пружалац услуге преузме возило на рад.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за извршење услуге за веће поправке у склопу ванредног одржавања возила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не може бити дужи од 5 радних дана од дана када Пружалац услуге преузме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возило на рад.</w:t>
      </w:r>
    </w:p>
    <w:p>
      <w:pPr>
        <w:pStyle w:val="Normal"/>
        <w:spacing w:before="0" w:after="160"/>
        <w:jc w:val="left"/>
        <w:rPr/>
      </w:pP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Изузетно, када се квар не може отклонити у том року, Наручилац и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Пружалац услуге постижу сагласност о разумном року извршења услуге.</w:t>
      </w:r>
    </w:p>
    <w:sectPr>
      <w:footerReference w:type="default" r:id="rId2"/>
      <w:type w:val="nextPage"/>
      <w:pgSz w:w="11906" w:h="16838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713554732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408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408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LibreOffice/6.2.8.2$Windows_X86_64 LibreOffice_project/f82ddfca21ebc1e222a662a32b25c0c9d20169ee</Application>
  <Pages>2</Pages>
  <Words>431</Words>
  <Characters>2485</Characters>
  <CharactersWithSpaces>2893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2022-02-24T12:34:29Z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